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3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ГАОУ ДПО</w:t>
      </w:r>
    </w:p>
    <w:p w:rsidR="00545503" w:rsidRPr="002D6304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ЛЕНИНГРАДСКИЙ ОБЛАСТНОЙ ИНСТИТУТ РАЗВИТИЯ ОБРАЗОВАНИЯ</w:t>
      </w:r>
      <w:r w:rsidRPr="002D6304">
        <w:rPr>
          <w:rFonts w:ascii="Times New Roman" w:hAnsi="Times New Roman" w:cs="Times New Roman"/>
          <w:b/>
          <w:sz w:val="24"/>
          <w:szCs w:val="24"/>
        </w:rPr>
        <w:t>»</w:t>
      </w:r>
    </w:p>
    <w:p w:rsidR="00545503" w:rsidRPr="002D6304" w:rsidRDefault="00545503" w:rsidP="00545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ПИСЬМО</w:t>
      </w: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РАБОТЕ УЧИТЕЛЯ ХИМИИ В ОБЩЕОБРАЗОВАТЕЛЬНЫХ УЧРЕЖДЕНИЯХ ОБЛАСТИ В 201</w:t>
      </w:r>
      <w:r w:rsidR="006E23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E23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545503" w:rsidRPr="00EC0AE2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А.Г., методист кафедры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Цурикова С.В., старший преподаватель     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 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E239E">
        <w:rPr>
          <w:rFonts w:ascii="Times New Roman" w:hAnsi="Times New Roman" w:cs="Times New Roman"/>
          <w:sz w:val="24"/>
          <w:szCs w:val="24"/>
        </w:rPr>
        <w:t>8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 О Федеральном перечне учебников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(ВПР, ОГЭ</w:t>
      </w:r>
      <w:proofErr w:type="gramStart"/>
      <w:r w:rsidRPr="00056796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056796">
        <w:rPr>
          <w:rFonts w:ascii="Times New Roman" w:hAnsi="Times New Roman" w:cs="Times New Roman"/>
          <w:b/>
          <w:sz w:val="28"/>
          <w:szCs w:val="28"/>
        </w:rPr>
        <w:t>ГЭ) в Ленинградской области (201</w:t>
      </w:r>
      <w:r w:rsidR="006E239E">
        <w:rPr>
          <w:rFonts w:ascii="Times New Roman" w:hAnsi="Times New Roman" w:cs="Times New Roman"/>
          <w:b/>
          <w:sz w:val="28"/>
          <w:szCs w:val="28"/>
        </w:rPr>
        <w:t>7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8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 году)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545503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Химия. 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Пропедевтический курс</w:t>
      </w:r>
      <w:r w:rsidR="00F03408">
        <w:rPr>
          <w:rFonts w:ascii="Times New Roman" w:hAnsi="Times New Roman" w:cs="Times New Roman"/>
          <w:b/>
          <w:sz w:val="28"/>
          <w:szCs w:val="28"/>
        </w:rPr>
        <w:t>.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 w:rsidR="006E239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45A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7C4A87" w:rsidRDefault="007C4A87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503" w:rsidRPr="00BE5ADF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DF">
        <w:rPr>
          <w:rFonts w:ascii="Times New Roman" w:hAnsi="Times New Roman" w:cs="Times New Roman"/>
          <w:b/>
          <w:sz w:val="28"/>
          <w:szCs w:val="28"/>
        </w:rPr>
        <w:lastRenderedPageBreak/>
        <w:t>О Федеральном перечне учебников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законодательству, список рекомендованных учебников формируется один раз в три года.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перечень был принят в 2014 году.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(Министерство образования и науки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№ 253 от 31.03.2014 г. 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федеральный перечень учебников останется без изменений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4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выйдет новый федеральный  перечень учебников, соответствующий новой Концепции преподавания химии.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Default="00EB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итоговой аттестации (ВПР, ОГЭ, ЕГЭ) 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(201</w:t>
      </w:r>
      <w:r w:rsidR="00B64C41">
        <w:rPr>
          <w:rFonts w:ascii="Times New Roman" w:hAnsi="Times New Roman" w:cs="Times New Roman"/>
          <w:b/>
          <w:sz w:val="28"/>
          <w:szCs w:val="28"/>
        </w:rPr>
        <w:t>7</w:t>
      </w:r>
      <w:r w:rsidRPr="0077793E">
        <w:rPr>
          <w:rFonts w:ascii="Times New Roman" w:hAnsi="Times New Roman" w:cs="Times New Roman"/>
          <w:b/>
          <w:sz w:val="28"/>
          <w:szCs w:val="28"/>
        </w:rPr>
        <w:t>-201</w:t>
      </w:r>
      <w:r w:rsidR="00B64C41">
        <w:rPr>
          <w:rFonts w:ascii="Times New Roman" w:hAnsi="Times New Roman" w:cs="Times New Roman"/>
          <w:b/>
          <w:sz w:val="28"/>
          <w:szCs w:val="28"/>
        </w:rPr>
        <w:t>8</w:t>
      </w:r>
      <w:r w:rsidRPr="0077793E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B64C41" w:rsidRPr="00F668F8" w:rsidRDefault="00B64C41" w:rsidP="00B64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химии, выполненной в средних школах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4C41" w:rsidRDefault="00B64C41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0B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процента выполнения заданий ВПР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химии  учащимися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в  2018 году: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1380"/>
        <w:gridCol w:w="3097"/>
        <w:gridCol w:w="3002"/>
        <w:gridCol w:w="2092"/>
      </w:tblGrid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97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00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-16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+18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03" w:type="dxa"/>
        <w:tblLook w:val="04A0"/>
      </w:tblPr>
      <w:tblGrid>
        <w:gridCol w:w="1467"/>
        <w:gridCol w:w="3036"/>
        <w:gridCol w:w="3036"/>
        <w:gridCol w:w="2464"/>
      </w:tblGrid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-6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P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C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4CA">
        <w:rPr>
          <w:rFonts w:ascii="Times New Roman" w:hAnsi="Times New Roman" w:cs="Times New Roman"/>
          <w:b/>
          <w:sz w:val="24"/>
          <w:szCs w:val="24"/>
        </w:rPr>
        <w:t>.</w:t>
      </w:r>
    </w:p>
    <w:p w:rsidR="00B64C41" w:rsidRPr="002C45C4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Ленинградской областью 2017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среднем процент выполнения отличается по сравнению с ЛО в 2017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в 2017 г.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+ 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8,8%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в 2017 г.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88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</w:tr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Россией 2018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среднем процент выполнения отличается по сравнению с Россией в 2018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 по России.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3,25%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по  России.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- 4,11%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8F8">
        <w:rPr>
          <w:rFonts w:ascii="Times New Roman" w:hAnsi="Times New Roman" w:cs="Times New Roman"/>
          <w:b/>
          <w:sz w:val="24"/>
          <w:szCs w:val="24"/>
        </w:rPr>
        <w:t>.</w:t>
      </w:r>
      <w:r w:rsidRPr="002C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F8">
        <w:rPr>
          <w:rFonts w:ascii="Times New Roman" w:hAnsi="Times New Roman" w:cs="Times New Roman"/>
          <w:b/>
          <w:sz w:val="24"/>
          <w:szCs w:val="24"/>
        </w:rPr>
        <w:t>Результаты выполнения ВПР:</w:t>
      </w:r>
    </w:p>
    <w:tbl>
      <w:tblPr>
        <w:tblStyle w:val="a6"/>
        <w:tblW w:w="0" w:type="auto"/>
        <w:tblLook w:val="04A0"/>
      </w:tblPr>
      <w:tblGrid>
        <w:gridCol w:w="2943"/>
        <w:gridCol w:w="3437"/>
        <w:gridCol w:w="3191"/>
      </w:tblGrid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учащихся, набравших баллов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А.                0 -12  (2)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31 (2017 -99)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1,68%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6,59 %)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Б.                13 -22  (3)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693 (2017 -648)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37,63%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43,14 %)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В.                23 – 28  (4)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841 (2017 -509)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45,65%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33, 89%)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Г.                 29 – 33  (5)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277 (2017 -246)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15,03%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16,38%)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% выполнения ВПР: 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98,3%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(2017 - 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93,41 %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% качественного выполнения  ВПР: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60,69%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2017 -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50,27%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4C41" w:rsidRP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. Низкие результаты показаны при выполнении следующих </w:t>
      </w:r>
      <w:proofErr w:type="gramStart"/>
      <w:r w:rsidRPr="00F668F8">
        <w:rPr>
          <w:rFonts w:ascii="Times New Roman" w:hAnsi="Times New Roman" w:cs="Times New Roman"/>
          <w:b/>
          <w:sz w:val="24"/>
          <w:szCs w:val="24"/>
        </w:rPr>
        <w:t>заданий  :</w:t>
      </w:r>
      <w:proofErr w:type="gramEnd"/>
    </w:p>
    <w:tbl>
      <w:tblPr>
        <w:tblStyle w:val="a6"/>
        <w:tblW w:w="0" w:type="auto"/>
        <w:tblLayout w:type="fixed"/>
        <w:tblLook w:val="04A0"/>
      </w:tblPr>
      <w:tblGrid>
        <w:gridCol w:w="675"/>
        <w:gridCol w:w="3013"/>
        <w:gridCol w:w="3761"/>
        <w:gridCol w:w="861"/>
        <w:gridCol w:w="1261"/>
      </w:tblGrid>
      <w:tr w:rsidR="00B64C41" w:rsidRPr="00F668F8" w:rsidTr="00B64C41">
        <w:tc>
          <w:tcPr>
            <w:tcW w:w="675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9424B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Задание проверочной работы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проверочной  работы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61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ыполе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скобках – результат  2017 года)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 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простых веществ-металлов и неметаллов. Характерные химические свойства оксидов (основных,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кислотных).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металлов: щелочных, щелочноземельных, алюминия; переходных металлов (меди, цинка, хрома, железа).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Электрохимический ряд напряжений металлов. Общие способы получения металлов.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кислот, солей (средних). 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Диссоциация электролитов 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45045B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неорганических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12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(56%)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; кислородсодержащих соединений: одно- и многоатомные спирты, фенол, альдегиды, одноосновные карбоновые кислоты, сложные эфиры, жиры, углеводы; азотсодержащих соединений: аминов, аминокислот, белков.</w:t>
            </w:r>
            <w:proofErr w:type="gramEnd"/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основными классами органических веществ.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26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13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количества вещества, массы или объема по количеству вещества, массе или объему одного из реагентов или продуктов реакции. Природные источники углеводородов: нефть и природный газ.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B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- допустимая концентрация вещества.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(Только в 2018 году).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2C5C46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4%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(0)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(11%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68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использованием понятия «массовая доля вещества в растворе».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на основе формул и уравнений реакций: 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A1788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8F8">
        <w:rPr>
          <w:rFonts w:ascii="Times New Roman" w:hAnsi="Times New Roman" w:cs="Times New Roman"/>
          <w:b/>
          <w:sz w:val="24"/>
          <w:szCs w:val="24"/>
        </w:rPr>
        <w:t>На основании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результатов выполненных работ 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выявлены контролируемые элементы содержания (КЭС), вызвавшие у учащихся 11 классов наибольшие затруднения.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Объяснение зависимости свойств химических элементов от положения элемента в Периодической системе химических элементов Д.И.Менделеева; (задание №3).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уравнений реакций  получения предлагаемых веществ; (задание №6, №7).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Написание ионных уравнений химических реакций, распознавание катионов и анионов  (теория электролитической  диссоциации); (задание №8).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Определение степеней  окисления химических элементов, окислителя и восстановителя;  составление электронного  баланса и молекулярного  уравнения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восстановительной реакции; (задание №9).</w:t>
      </w: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F668F8">
        <w:rPr>
          <w:rFonts w:ascii="Times New Roman" w:hAnsi="Times New Roman" w:cs="Times New Roman"/>
          <w:sz w:val="24"/>
          <w:szCs w:val="24"/>
        </w:rPr>
        <w:t xml:space="preserve">аписание уравнений реакций, характеризующих взаимосвязь между основными классами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68F8">
        <w:rPr>
          <w:rFonts w:ascii="Times New Roman" w:hAnsi="Times New Roman" w:cs="Times New Roman"/>
          <w:sz w:val="24"/>
          <w:szCs w:val="24"/>
        </w:rPr>
        <w:t>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Написание уравнений реакций, характеризующих химические свойства основных классов органических соединений; (задание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Pr="00F668F8">
        <w:rPr>
          <w:rFonts w:ascii="Times New Roman" w:hAnsi="Times New Roman" w:cs="Times New Roman"/>
          <w:sz w:val="24"/>
          <w:szCs w:val="24"/>
        </w:rPr>
        <w:t>аписание уравнений реакций, характеризующих взаимосвязь между основными классами 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расчетов с использованием понятия  предельно – допустимая концентрация вещества; (задание №14).</w:t>
      </w:r>
    </w:p>
    <w:p w:rsidR="00EB71C0" w:rsidRDefault="00B64C41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расчетов с использованием понятия «массовая доля растворенного вещества в растворе».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3E">
        <w:rPr>
          <w:rFonts w:ascii="Times New Roman" w:hAnsi="Times New Roman" w:cs="Times New Roman"/>
          <w:b/>
          <w:sz w:val="24"/>
          <w:szCs w:val="24"/>
        </w:rPr>
        <w:t>Типовые задания ВПР  2018 год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Медведев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Химия: Всероссийская проверочная работа: 11 класс: типовые задания. ФГОС</w:t>
      </w:r>
      <w:r w:rsidRPr="00B637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Ю.Н.Медведев. – М.: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Дроздов А.А. Всероссийская проверочная работа. Химия: 11 класс: 10 вариантов. Типовые задания. ФГОС </w:t>
      </w:r>
      <w:r w:rsidRPr="007779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Дроздов А.А. Всероссийская проверочная работа. Химия: 11 класс: 20 вариантов. Типовые задания. ФГОС </w:t>
      </w:r>
      <w:r w:rsidRPr="006E23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Результаты ЕГЭ по химии в ЛО в 2018 году</w:t>
      </w:r>
    </w:p>
    <w:p w:rsidR="00441C67" w:rsidRPr="00D3484A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(на основе «Статистико-аналитического отчета о результатах ЕГЭ в ЛО в 2018 году» 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Шаталова МА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дпн</w:t>
      </w:r>
      <w:proofErr w:type="spellEnd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профессора, зав</w:t>
      </w:r>
      <w:proofErr w:type="gramStart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.к</w:t>
      </w:r>
      <w:proofErr w:type="gramEnd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афедрой ЕГО, проректора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ЛОИРО</w:t>
      </w: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Реализованные в Ленинградской области варианты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соответствовали Спецификации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ЕГЭ по химии в 2018 году и состояли из 2-х частей заданий.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При этом задания как базового, так и повышенного уровней сложности в работах текущего года были представлены заданиями с множественным выбором ответа.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2-я во всех вариантах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представлена 6-ю заданиями с открытым ответом, относящимся к заданиям высокого уровня сложности. При этом изменился формат задания 30, а также введено новое задание (31), связанное с заданием 30 единым контекстом, что существенно повысило уровень их сложности для сдающих ЕГЭ по химии. Структура и содержательная направленность остальных заданий не претерпели изменений в сравнении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химии в 2017 году. Однако уровень сложности ряда заданий, предложенных в 2018 году, оказался ещё более высоким.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это характерно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 34 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условие расчётной задачи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включало протекание химической реакции на электродах (электролиз), что потребовало от выпускников проведения части более сложных расчётов (</w:t>
      </w:r>
      <w:r w:rsidRPr="005E6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ЕГЭ по химии).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задач вновь были усложнены в части составления структурной формулы органического соединения и написания уравнения химической реакции с его участием в качестве её реагента или продукта.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следует из статистической отчётности, ЕГЭ по химии в 2018 году было проверено 551 работа выпускников из общеобразовательных организаций Ленинградской области. Общие количественные результаты выполнения ими заданий предложенных вариантов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таблице 11 - А.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заданий экзаменационных работ ЕГЭ по химии выпускниками 11-х классов Ленинградской области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tbl>
      <w:tblPr>
        <w:tblW w:w="9856" w:type="dxa"/>
        <w:tblInd w:w="-34" w:type="dxa"/>
        <w:tblLayout w:type="fixed"/>
        <w:tblLook w:val="0000"/>
      </w:tblPr>
      <w:tblGrid>
        <w:gridCol w:w="1298"/>
        <w:gridCol w:w="546"/>
        <w:gridCol w:w="1291"/>
        <w:gridCol w:w="1500"/>
        <w:gridCol w:w="1197"/>
        <w:gridCol w:w="1541"/>
        <w:gridCol w:w="1275"/>
        <w:gridCol w:w="1208"/>
      </w:tblGrid>
      <w:tr w:rsidR="00441C67" w:rsidTr="00441C67">
        <w:trPr>
          <w:trHeight w:val="640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работе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по региону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экзаменуемых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набравших максимальный балл за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1C67" w:rsidTr="00441C67">
        <w:trPr>
          <w:trHeight w:val="1100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60-79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80-100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Объём выборки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всего (кол-во чел.):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% от общего кол-ва человек: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69,96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Приведённые в таблице  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того или 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для обеспечения единства количественной и качественной интерпретации полученных данных мы будем использовать следующую шкалу: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417"/>
        <w:gridCol w:w="1418"/>
        <w:gridCol w:w="1559"/>
        <w:gridCol w:w="1701"/>
        <w:gridCol w:w="1383"/>
      </w:tblGrid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задания / блока заданий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0,0-19,9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20,0-39,9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40,0-59,9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60,0-79,9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80,0-100,0</w:t>
            </w:r>
          </w:p>
        </w:tc>
      </w:tr>
      <w:tr w:rsidR="00441C67" w:rsidTr="00441C67">
        <w:tc>
          <w:tcPr>
            <w:tcW w:w="2093" w:type="dxa"/>
            <w:vMerge w:val="restart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(Н)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</w:tc>
      </w:tr>
      <w:tr w:rsidR="00441C67" w:rsidTr="00441C67">
        <w:tc>
          <w:tcPr>
            <w:tcW w:w="2093" w:type="dxa"/>
            <w:vMerge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высокий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изложенного выше рассмотрим результаты выполнения заданий по выделенным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I. Важнейшие понятия и законы химии. ПЗ и ПСХЭ Д.И. Менделеева. Строение атома, строение вещества.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первые четыре задания экзаменационной работы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83,42;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70,63;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59,10;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55,68;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4,15%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заметное ухудшение результатов можно отметить для заданий 1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−23,92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−15,17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традиционно давали наиболее высокие результаты. Наряду с этим улучшились результаты выполнения заданий 3 и, особенно, 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 требовало от выпускников выбрать два химических элемента, атомы которых имеют в основном состоянии одинаковую конфигурацию внешнего энергетического уровня. Очевидно, что это должны быть элементы одной подгруппы. По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формулировке данное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базовому уровню сложности и не должно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серьёзных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 этого же варианта требовало выбрать три элемента-неметалла и расположить их в порядке уменьшения радиуса их атомов. В числе этих элементов два элемента располагаются во 2-м периоде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подгруппы), а один – в 4-м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подгруппа). Такая подборка элементов могла вызвать определённые затруднения у части выпускников. В целом условие задания соответствует базовому уровню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II. Химические реакции и закономерности их протекания.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19, 20;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65,04).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83,24;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60,18;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51,71;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+3,34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Данный прирост обеспечивается существенным улучшением результатов выполнения задания 20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+19,14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Остальные задания блока дали отрицательную динамику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19 требовало от выпускников выбрать два типа химической реакции, к которым можно отнести взаимодействие раствора карбоната натрия и серной кислоты. По своей формулировке данное задание соответствует базовому уровню сложности и не должно было вызвать особых затруднений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сдающих экзамен.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затруднения в выборе ответов могли возникнуть в том случае, если ученик, по какой-либо причине, не учёл, что в момент образования в растворе угольная кислота распадается на воду и углекислый газ. Тогда появляется третий гипотетический вариант ответа (реакция </w:t>
      </w:r>
      <w:r w:rsidRPr="001C6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который, конечно же, является неверным.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24 повышенного уровня сложности этого же варианта требовало соотнести характер изменения условий протекания обратимого процесса и соответствующего ему направления смещения химического равновесия. Один из изменяемых параметров – д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обозначается и рассматривается детально. 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давление предлагается рассматривать как фактор, влияющий на смещение химического равновесия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обратимых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вещества, находящиеся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исключительно в газообразном состоянии.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могло вызвать определённые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атруднения у части выпускников.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III. ОВР.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CF5A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21;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22;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30.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89,01;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78,38;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34,23;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−2,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21 и, особенно, задания 30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−20,07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Это, вероятно, связано с изменением формата задания 30, что привело к его существенному усложнению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Наряду с этим, отрицательная динамика выполнения заданий 21 и 30 частично была компенсирована улучшением результатов выполнения задания 22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+16,98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21 требовало от выпускников соотнести уравнение ОВР и степень окисления восстановителя в этой реакции. По своей формулировке данное задание соответствует базовому уровню сложности и не должно было вызвать серьёзных затруднений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Однако некоторые сложности при выполнении задания могли возникнуть при невнимательном прочтении условия задания и, как следствие этого, в силу недопонимания его сути.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30 этого же варианта относится к заданиям высокого уровня сложности. В 2018 году был изменён его формат – ученикам необходимо было самим выбрать вещества и предложенного перечня и составить с их участием уравнение ОВР. В этом, на наш взгляд, и заключается основная причина сложностей, возникших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IV. Растворы. ТЭД.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23;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6D6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31.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62,16).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56,04;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55,32;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−4,8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23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−5,68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результатами выполнения нового задания – задания 31, введённого в структуру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 году. Положительная динамика выполнения задания 27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+2,24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лишь частично смогла компенсировать результаты выполнения остальных заданий блока.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23 требовало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соотнести формулу соли и реакцию среды её водного раствора. По своей формулировке данное задание соответствует повышенному уровню сложности, что и определяет возможные затруднения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31 является новым и связано единым контекстом с заданием 30. Задание 31 относится к заданиям высокого уровня сложности, поскольку требовало от выпускников самостоятельно выбрать вещества из списка и составить с их участием уравнение реакц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обмена. Кроме того, дополнительные сложности при выполнении этого задания могли быть связаны с неоднозначным толкованием сути реакций ионного обмена во многих школьных учебниках и в пособиях для учащихся.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V. Неорганическая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8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5, 6, 7, 10;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8,9,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32.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57,29).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92,43;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79, 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67,21;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58,74;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43,60;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40,54;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25,77;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+9,99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два задания блока – 6 и 10, дали незначительную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−0,89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−6,36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5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+10,03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+23,50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32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+16,32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этом особенно примечательным является прирост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правильного выполнения задания 32 как задания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 требовало от обучающихся выбрать с какими из предложенных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упит в реакцию кальций. По своей формулировке данное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базовому уровню сложности и не должно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особых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задания 10 этого же варианта, на наш взгляд, превышает заявленный базовый уровень сложности. Так, в задании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и надо определить, 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реагенты, а также условия протекания реакций. Первая из зашифрованных реакций относится к реакциям электролиза. Последний переход связан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взаимодействием хлорида фосфора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избытком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кальция. Полагаем, что хорошее знание этих процессов соответствует более высокому уровню подготовки.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VI. 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10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11-15, 18;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16, 17,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33.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54, 41).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73,15;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69,73;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66,13;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61,62;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51,17;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41,98;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полного правильного выполнения – 40,54; уровень освоения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+7,41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три задания из десяти заданий блока – 11, 16 и 18, дали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−18,05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−12,84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−1,78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12, 13 и 14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+31,93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+27,57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+20,53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11 и 16 скорее соответствуют заявленным уровням сложности –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соответственно. В отличие от них условие задания 18 этого же варианта, на наш взгляд, превышает заявленный базовый уровень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задании 18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и надо определить, 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реагенты, а также условия протекания реакций. Для этого выпускники должны на достаточном хорошем уровне разбираться в механизмах протекания реакций, уметь по условиям и сопутствующим реагентам прогнозировать направление и продукты протекающих превращений.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VII. В химической лаборатории. Производство и применение веществ и материалов.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данному блоку было отнесено 1 задание </w:t>
      </w:r>
      <w:r w:rsidRPr="00C80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его выполнения – средний % выполнения 50,99 –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уровне освоения соответствующих элементов содержания.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задания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+11,79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VIII. Химические расчёты.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5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27, 28, 29;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34, 35.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49,51).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68,65;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62,52;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10,27;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низкий.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+5,11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одно задание из блока – 28, дало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−9,68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 w:rsidRPr="000C45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остальным заданиям блока наблюдается положительная динамика результатов выполнения. Особенно заметна она у задания 34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+26,29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значимо, учитывая, что это задание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28 содержит задачу, условие которой требует нахождения объёма кислорода, необходимого для полного сгорания заданного объёма пропана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.у.). 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Приведённые данные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говорить о качестве изучения отдельных разделов / тем школьного курса химии. Однако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следующей таблице.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(без учёта частично правильных ответов)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11-Б</w:t>
      </w:r>
    </w:p>
    <w:tbl>
      <w:tblPr>
        <w:tblStyle w:val="a6"/>
        <w:tblW w:w="0" w:type="auto"/>
        <w:tblLook w:val="04A0"/>
      </w:tblPr>
      <w:tblGrid>
        <w:gridCol w:w="1271"/>
        <w:gridCol w:w="1843"/>
        <w:gridCol w:w="1557"/>
        <w:gridCol w:w="1558"/>
        <w:gridCol w:w="1558"/>
        <w:gridCol w:w="1558"/>
      </w:tblGrid>
      <w:tr w:rsidR="00441C67" w:rsidRPr="00502AB6" w:rsidTr="00441C67">
        <w:tc>
          <w:tcPr>
            <w:tcW w:w="3114" w:type="dxa"/>
            <w:gridSpan w:val="2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6231" w:type="dxa"/>
            <w:gridSpan w:val="4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полного правильного выполнения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среднее значение</w:t>
            </w:r>
          </w:p>
        </w:tc>
        <w:tc>
          <w:tcPr>
            <w:tcW w:w="4674" w:type="dxa"/>
            <w:gridSpan w:val="3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в группах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0-35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60-79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освоения: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92,90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33,76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Pr="00EE2845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89,39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(без учёта частично правильных ответов) по блокам и по работе в целом в 2017-2018 годах отражают графики 1-4.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1. Общая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(все обучающиеся).</w:t>
      </w:r>
    </w:p>
    <w:p w:rsidR="00D3484A" w:rsidRDefault="00D3484A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D3484A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2. Динамика результатов выполнения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0-35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3.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60-79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4. Динамика результатов выполнения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80-100 баллов.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1-4 наглядно иллюстрируют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положительную динамику результатов выполнения экзаменационной работы ЕГЭ по химии в 2018 году в сравнении с 2017 годом. Так, на всех графиках можно отметить увеличение среднего балла выполнения заданий всех уровней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целом по работе)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Примечательно также то, что во всех группах обучающихся наблюдается увеличение среднего балла выполнения заданий высокого уровня сложности, даже у тех из них, кто набрал от 0 до 35 баллов. Для этой же группы выпускников можно отметить увеличение среднего балла и за выполнение заданий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для более полного анализа результатов интерес представляют и данные, учитывающие частично правильные ответы выпускников на ряд заданий экзаменационной работы. Они, в сравнении с данными таблицы 11-Б, представлены в таблице 11-В.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11-В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 учётом и без учёта частично правильных ответов)</w:t>
      </w:r>
    </w:p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29"/>
        <w:gridCol w:w="1701"/>
        <w:gridCol w:w="2410"/>
        <w:gridCol w:w="2410"/>
        <w:gridCol w:w="1695"/>
      </w:tblGrid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заданий</w:t>
            </w:r>
          </w:p>
        </w:tc>
        <w:tc>
          <w:tcPr>
            <w:tcW w:w="482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% выполнения</w:t>
            </w:r>
          </w:p>
        </w:tc>
        <w:tc>
          <w:tcPr>
            <w:tcW w:w="1695" w:type="dxa"/>
            <w:vMerge w:val="restart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учёта частично правильных ответов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частично правильных ответов</w:t>
            </w:r>
          </w:p>
        </w:tc>
        <w:tc>
          <w:tcPr>
            <w:tcW w:w="1695" w:type="dxa"/>
            <w:vMerge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нСр-Ср</w:t>
            </w:r>
            <w:proofErr w:type="spellEnd"/>
          </w:p>
        </w:tc>
      </w:tr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 заданий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Ср-Ср</w:t>
            </w:r>
          </w:p>
        </w:tc>
      </w:tr>
    </w:tbl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Динамику результатов выполнения заданий с учётом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с учётом частично 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5. Общая динамика результатов выполнения</w:t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с учётом частично правильных ответов (все обучающиеся).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 наглядно иллюстрирует, что частично правильные ответы, данные выпускниками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положительно</w:t>
      </w:r>
      <w:proofErr w:type="gramEnd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сказались лишь на среднем результате выполнения заданий базового уровня сложности. По остальным группам заданий, а также по работе в целом их влияние незначительно.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анализируя данные, учитывающие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полные 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предложенные задания (табл. 11-Б), можно сделать вывод о том, что наибольший вклад в результаты выполнения экзаменационной работы ЕГЭ по химии приходится на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Несколько ниже в общем результате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средн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пустимый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этом влияние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сложности проявляется на уровне ниже среднего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среднего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группы экзаменуемых, набравших от 80 до 100 баллов отмечается равномерно высокий вклад всех групп заданий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то же время, согласно данным таблицы 11, объём данной группы составил в 2018 году 14,7% от общего числа выпускников, сдававших ЕГЭ по химии (в 2017 году он составлял 11,9%). Примечательно, 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этот показатель соотносим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программ углублённого уровня обучения химии (немногим меньше)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реализуемых в Ленинградской области.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11-В подтверждают основной вклад в общий результат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приближают к нему «вес»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Повышается и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сложности, приближая их 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уровню освоения соответствующего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средние 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выполнения всех групп заданий с учётом (59,38%) и без учёта (49,79%) частично правильных ответов попадают в обозначенный ранее диапазон значений «40,0%-59,9%», что соответствует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уровню освоения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Рассмотренные данные в комплексе свидетельствуют об 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улучшении результатов ЕГЭ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химии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2017 годом и об 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соответствии преобладающему в общеобразовательных организациях Ленинградской области базовому уровню обучения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превышении по целому ряду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также позволяет предположить, что для подготовки выпускников к ЕГЭ в общеобразовательных организациях Ленинградской области, как и раньше, был задействован не только потенциал урочной работы по предмету, но и иные имеющиеся возможности: ресурсы внеурочной деятельности, дополнительного образования детей, сетевого взаимодействия и др. (факультативы, дополнительные занятия, индивидуальные / групповые консультации и т.д.).</w:t>
      </w:r>
      <w:proofErr w:type="gramEnd"/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УМК по предмету, которые использовались в ОО в 2017-2018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6945"/>
      </w:tblGrid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УМК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Примерный процент ОО,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использовался данный УМК</w:t>
            </w:r>
          </w:p>
        </w:tc>
      </w:tr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УМК 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О.С. Габриеляна,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Н.Е. Кузнецовой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другие УМК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41C67" w:rsidTr="00441C67">
        <w:trPr>
          <w:trHeight w:val="1080"/>
        </w:trPr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пособия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разных авторов для подготовки обучающихся к ЕГЭ по химии.</w:t>
            </w:r>
          </w:p>
        </w:tc>
      </w:tr>
    </w:tbl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87F1E" w:rsidRDefault="00187F1E" w:rsidP="00A367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4253"/>
        </w:tabs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ОГЭ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 в</w:t>
      </w: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году</w:t>
      </w:r>
    </w:p>
    <w:p w:rsidR="00441C67" w:rsidRPr="00242FA9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A9">
        <w:rPr>
          <w:rFonts w:ascii="Times New Roman" w:hAnsi="Times New Roman" w:cs="Times New Roman"/>
          <w:b/>
          <w:sz w:val="24"/>
          <w:szCs w:val="24"/>
        </w:rPr>
        <w:t>ПРЕДВАРИТЕЛЬНЫЕ ИТОГИ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9">
        <w:rPr>
          <w:rFonts w:ascii="Times New Roman" w:hAnsi="Times New Roman" w:cs="Times New Roman"/>
          <w:b/>
          <w:sz w:val="24"/>
          <w:szCs w:val="24"/>
        </w:rPr>
        <w:t xml:space="preserve"> в ЛО в 2018 году</w:t>
      </w:r>
    </w:p>
    <w:tbl>
      <w:tblPr>
        <w:tblW w:w="9560" w:type="dxa"/>
        <w:tblInd w:w="93" w:type="dxa"/>
        <w:tblLook w:val="04A0"/>
      </w:tblPr>
      <w:tblGrid>
        <w:gridCol w:w="960"/>
        <w:gridCol w:w="2840"/>
        <w:gridCol w:w="960"/>
        <w:gridCol w:w="960"/>
        <w:gridCol w:w="960"/>
        <w:gridCol w:w="960"/>
        <w:gridCol w:w="960"/>
        <w:gridCol w:w="960"/>
      </w:tblGrid>
      <w:tr w:rsidR="00441C67" w:rsidRPr="00242FA9" w:rsidTr="00441C6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D">
        <w:rPr>
          <w:rFonts w:ascii="Times New Roman" w:hAnsi="Times New Roman" w:cs="Times New Roman"/>
          <w:b/>
          <w:sz w:val="24"/>
          <w:szCs w:val="24"/>
        </w:rPr>
        <w:t>Результаты ОГЭ по химии  в школах Ленинградской области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22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B0B84">
        <w:rPr>
          <w:rFonts w:ascii="Times New Roman" w:hAnsi="Times New Roman" w:cs="Times New Roman"/>
          <w:b/>
          <w:sz w:val="24"/>
          <w:szCs w:val="24"/>
        </w:rPr>
        <w:t xml:space="preserve"> в сравнении с 2017 годом</w:t>
      </w: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>Задания базового уровня</w:t>
      </w:r>
    </w:p>
    <w:tbl>
      <w:tblPr>
        <w:tblStyle w:val="a6"/>
        <w:tblW w:w="0" w:type="auto"/>
        <w:tblLook w:val="04A0"/>
      </w:tblPr>
      <w:tblGrid>
        <w:gridCol w:w="2366"/>
        <w:gridCol w:w="3418"/>
        <w:gridCol w:w="3787"/>
      </w:tblGrid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18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2018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балл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</w:pPr>
            <w:r w:rsidRPr="0082131F">
              <w:rPr>
                <w:lang w:val="en-US"/>
              </w:rPr>
              <w:t>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 w:rsidRPr="0057040E">
              <w:rPr>
                <w:color w:val="C00000"/>
                <w:sz w:val="24"/>
                <w:szCs w:val="24"/>
                <w:lang w:val="en-US"/>
              </w:rPr>
              <w:t>9</w:t>
            </w:r>
            <w:r>
              <w:rPr>
                <w:color w:val="C00000"/>
                <w:sz w:val="24"/>
                <w:szCs w:val="24"/>
              </w:rPr>
              <w:t>4</w:t>
            </w:r>
            <w:r w:rsidRPr="0057040E">
              <w:rPr>
                <w:color w:val="C00000"/>
                <w:sz w:val="24"/>
                <w:szCs w:val="24"/>
              </w:rPr>
              <w:t xml:space="preserve"> %  </w:t>
            </w:r>
          </w:p>
        </w:tc>
        <w:tc>
          <w:tcPr>
            <w:tcW w:w="3787" w:type="dxa"/>
          </w:tcPr>
          <w:p w:rsidR="00441C67" w:rsidRPr="002B4C9F" w:rsidRDefault="00441C67" w:rsidP="00441C67">
            <w:pPr>
              <w:jc w:val="center"/>
              <w:rPr>
                <w:sz w:val="24"/>
                <w:szCs w:val="24"/>
              </w:rPr>
            </w:pPr>
            <w:r w:rsidRPr="002B4C9F">
              <w:rPr>
                <w:sz w:val="24"/>
                <w:szCs w:val="24"/>
                <w:lang w:val="en-US"/>
              </w:rPr>
              <w:t>94%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   </w:t>
            </w:r>
          </w:p>
        </w:tc>
        <w:tc>
          <w:tcPr>
            <w:tcW w:w="3787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82%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81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8</w:t>
            </w:r>
            <w:r>
              <w:rPr>
                <w:color w:val="C00000"/>
                <w:sz w:val="24"/>
                <w:szCs w:val="24"/>
              </w:rPr>
              <w:t>3</w:t>
            </w:r>
            <w:r w:rsidRPr="0057040E">
              <w:rPr>
                <w:color w:val="C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70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73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71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 xml:space="preserve">Задания повышенного и высокого уровня </w:t>
      </w:r>
    </w:p>
    <w:tbl>
      <w:tblPr>
        <w:tblStyle w:val="a6"/>
        <w:tblW w:w="0" w:type="auto"/>
        <w:tblLook w:val="04A0"/>
      </w:tblPr>
      <w:tblGrid>
        <w:gridCol w:w="618"/>
        <w:gridCol w:w="964"/>
        <w:gridCol w:w="656"/>
        <w:gridCol w:w="875"/>
        <w:gridCol w:w="823"/>
        <w:gridCol w:w="783"/>
        <w:gridCol w:w="691"/>
        <w:gridCol w:w="770"/>
        <w:gridCol w:w="692"/>
        <w:gridCol w:w="670"/>
        <w:gridCol w:w="692"/>
        <w:gridCol w:w="670"/>
        <w:gridCol w:w="667"/>
      </w:tblGrid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64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0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0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75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783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2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7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3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5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5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</w:pPr>
            <w:r w:rsidRPr="0057040E">
              <w:t>16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33%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68%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64%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37%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37%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39%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56%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93%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39%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8%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10%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21%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61%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22%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15%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45%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5%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7%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9%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1</w:t>
            </w: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20%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6734" w:rsidRDefault="00A36734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Пропедевтические курсы. Химия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ЛО рекомендуется использовать УМК пропедевтического курса «Мир химии» для учащихся 7-х классов (Автор Л.Т. Ткаченко, учитель химии Лицея № 3 г. Гатчина)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УМК включает: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Календарное, тематическое  и поурочное планирование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Книгу для учителя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Пособие для школьников (тетрадь для выполнения заданий)</w:t>
      </w:r>
    </w:p>
    <w:p w:rsidR="00441C67" w:rsidRPr="00EB71C0" w:rsidRDefault="00441C67" w:rsidP="00441C6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1C0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 xml:space="preserve"> УМК на заседании межуровневого УМО ЛО от 28 июня 2017 года присвоен Гриф «Рекомендовано МУ УМО в системе образования ЛО 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F03408" w:rsidRPr="00F03408" w:rsidRDefault="00F03408" w:rsidP="00F034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3408" w:rsidRDefault="00F03408" w:rsidP="005821DB">
      <w:pPr>
        <w:pStyle w:val="Default"/>
        <w:jc w:val="center"/>
        <w:rPr>
          <w:b/>
          <w:bCs/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ВСЕРОССИЙСКАЯ ОЛИМПИАДА ШКОЛЬНИКОВ ПО ХИМИИ</w:t>
      </w:r>
    </w:p>
    <w:p w:rsidR="005821DB" w:rsidRDefault="005821DB" w:rsidP="005821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Архангельская О.В., Емельянов В.А., </w:t>
      </w:r>
      <w:proofErr w:type="spellStart"/>
      <w:r>
        <w:rPr>
          <w:b/>
          <w:bCs/>
          <w:sz w:val="23"/>
          <w:szCs w:val="23"/>
        </w:rPr>
        <w:t>Долженко</w:t>
      </w:r>
      <w:proofErr w:type="spellEnd"/>
      <w:r>
        <w:rPr>
          <w:b/>
          <w:bCs/>
          <w:sz w:val="23"/>
          <w:szCs w:val="23"/>
        </w:rPr>
        <w:t xml:space="preserve"> В.Д., </w:t>
      </w:r>
      <w:proofErr w:type="spellStart"/>
      <w:r>
        <w:rPr>
          <w:b/>
          <w:bCs/>
          <w:sz w:val="23"/>
          <w:szCs w:val="23"/>
        </w:rPr>
        <w:t>Тюльков</w:t>
      </w:r>
      <w:proofErr w:type="spellEnd"/>
      <w:r>
        <w:rPr>
          <w:b/>
          <w:bCs/>
          <w:sz w:val="23"/>
          <w:szCs w:val="23"/>
        </w:rPr>
        <w:t xml:space="preserve"> И.А., Лунин В.В.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МЕТОДИЧЕСКИЕ РЕКОМЕНДАЦИИ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ПРОВЕДЕНИЮ ШКОЛЬНОГО И МУНИЦИПАЛЬНОГО ЭТАПОВ ВСЕРОССИЙСКОЙ ОЛИМПИАДЫ ШКОЛЬНИКОВ ПО ХИМИИ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2018/2019 УЧЕБНОМ ГОДУ</w:t>
      </w:r>
    </w:p>
    <w:p w:rsidR="005821DB" w:rsidRDefault="005821DB" w:rsidP="005821D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Москва, 2018г.</w:t>
      </w: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подготовлены центральной предметно-методической комиссией по химии и утверждены на заседании ЦПМК 29 июня 2018 г. протокол №5.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821D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и муниципального этапов</w:t>
      </w:r>
      <w:proofErr w:type="gramEnd"/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Задания олимпиады школьного и муниципального этапа могут быть авторскими или выбраны из литературных источников. За основу могут быть взяты задания олимпиад прошлых лет, опубликованные в сборниках и на интернет порталах (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. список литературы, Интернет-ресурсов). </w:t>
      </w:r>
      <w:r w:rsidRPr="00582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Ссылка на источник обязательна</w:t>
      </w:r>
      <w:r w:rsidRPr="005821DB">
        <w:rPr>
          <w:rFonts w:ascii="Times New Roman" w:hAnsi="Times New Roman" w:cs="Times New Roman"/>
          <w:sz w:val="24"/>
          <w:szCs w:val="24"/>
        </w:rPr>
        <w:t>. Задания школьного и муниципального этапов целесообразно разрабатывать для 4 возрастных параллелей: школьный этап – 5-8, 9, 10 и 11 классы, муниципальный этап – 7-8, 9, 10, 11 классы. Для каждой параллели разрабатывается один вариант заданий.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Школьный и муниципальный этапы Олимпиады по химии для старших возрастных параллелей желательно проводить в 2 тура (теоретический и экспериментальный) в сроки, установленные Порядком проведения Всероссийской олимпиады школьников (Приказ № 1252 Министерства образования и науки Российской Федерации от 18 ноября 2013 г, приказ № 249 Министерства образования и науки Российской Федерации от 17 марта 2015 г., приказ № 1488 Министерства образования и науки Российской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Федерации от 17 декабря 2015 г., приказ № 1435 Министерства образования и науки Российской Федерации от 17 ноября 2016 г.).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Длительность теоретического тура составляет не более 4 (четырех), а экспериментального тура – не более 2 (двух) астрономических часов. 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эксперимента, и время проведения тура увеличивается.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Для учащихся 5</w:t>
      </w:r>
      <w:r w:rsidRPr="005821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8 классов </w:t>
      </w:r>
      <w:r w:rsidRPr="005821DB">
        <w:rPr>
          <w:rFonts w:ascii="Times New Roman" w:hAnsi="Times New Roman" w:cs="Times New Roman"/>
          <w:sz w:val="24"/>
          <w:szCs w:val="24"/>
        </w:rPr>
        <w:t>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элементарные лабораторные операции (кто точнее взвесит или измерит объем, кто точнее и аккуратнее отберет необходимый объем жидкости, кто быстро, при этом аккуратно и точно приготовит раствор заданной концентрации или разделит смесь на компоненты);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 xml:space="preserve">2. простые химические опыты, связанные с жизнью: гашение соды уксусной кислотой, разложение хлорида аммония, изменение цвета природных индикаторов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кислой 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щелочной среде.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 подготовке туров для обучающихся 5-8 классов желательно привлекать старшеклассников.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FF"/>
          <w:sz w:val="26"/>
          <w:szCs w:val="26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Содержание олимпиадных заданий учащихся 9-11 классов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Олимпиадные задачи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теоретического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основаны на материале 4 разделов химии: неорганической, аналитической, органической и физической. В содержании задач должны содержаться вопросы, требующие от участников следующих знаний и умений: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неорганической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строение, свойства и методы получения основных классов соединений: оксидов, кислот, оснований,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закономерности в изменении свойств элементов и их соединений в соответствии с периодическим законом.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аналитической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качественные реакции, использующиеся для обнаружения катионов и анионов неорганических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данных по количественному анализу.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изомерия;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получение и химические свойства основных классов органических соединений (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галогенпроизводных, аминов, спиртов и фенолов, карбонильных соединений, карбоновых кислот, сложных эфиров, пептидов);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физической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 атомов и молекул,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типы и характеристики химической связи;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основы химической термодинамики и кинетики.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составлении заданий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практического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необходимо включать в них задания требующие использования следующих простых экспериментальных навыков: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взвешивание (аналитические весы);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измерение объемов жидкостей с помощью мерного цилиндра, пипетки, бюретки, мерной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колбы;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приготовление раствора из твердого вещества и растворителя, смешивание и разбавление, выпаривание растворов;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- нагревание с помощью горелки, электрической плитки,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колбонагревателя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на водяной и на песчаной бане;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смешивание и перемешивание жидкостей: использование магнитной или механической мешалки, стеклянной палочки;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капельной и делительной воронок;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фильтрование через плоский бумажный фильтр, фильтрование через свернутый бумажный фильтр; промывание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высушивание веществ в сушильном шкафу, высушивание веществ в эксикаторе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>высушивание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- качественный анализ (обнаружение катионов и анионов в водном растворе; идентификация элементов по окрашиванию пламени; качественное определение основных функциональных групп органических соединений);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определение кислотности среды с использованием индикаторов.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Например, перекристаллизация требует проведения большинства указанных простых операций и возможна с использование доступного оборудования и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Подходы к разработке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разработке олимпиадных задач важную роль играют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межпредметные</w:t>
      </w:r>
      <w:proofErr w:type="spellEnd"/>
      <w:r w:rsidRPr="005821DB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связи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Интеграция математической составляющей в задание по химии, например, ни в коем случае не умаляет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химичности</w:t>
      </w:r>
      <w:proofErr w:type="spellEnd"/>
      <w:proofErr w:type="gramStart"/>
      <w:r w:rsidRPr="005821DB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>адачи, а, наоборот, способствует расширению кругозора участников олимпиады, творческому развитию знаний школьников. Такие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» задачи усиливают химическую составляющую и показывают тесную взаимосвязь естественных наук.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Олимпиадная задача – это единое целое. В нее входит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развернутое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решение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система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оценивания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олимпиадных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задач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могут быть сформулированы по-разному: условие с вопросом или заданием в конце (при этом вопросов может быть несколько); тест с выбором ответа; задача, в которой текст условия прерывается вопросами (так зачастую строятся задачи на высоких уровнях олимпиады).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Олимпиадные задачи по химии можно разделить на три основных группы: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качественные, расчётные (количественные) и экспериментальные</w:t>
      </w:r>
      <w:r w:rsidRPr="005821DB">
        <w:rPr>
          <w:rFonts w:ascii="Times New Roman" w:hAnsi="Times New Roman" w:cs="Times New Roman"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качественных задачах </w:t>
      </w:r>
      <w:r w:rsidRPr="005821DB">
        <w:rPr>
          <w:rFonts w:ascii="Times New Roman" w:hAnsi="Times New Roman" w:cs="Times New Roman"/>
          <w:sz w:val="24"/>
          <w:szCs w:val="24"/>
        </w:rPr>
        <w:t>может потребоваться: объяснение экспериментальных фактов (например, изменение цвета в результате реакции); распознавание веществ; получение новых соединений; предсказание свойств веществ, возможности протекания химических реакций; описание, объяснение тех или иных явлений; разделение смесей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Классической формой качественной задачи является задание со схемами (цепочками) превращений. (В схемах стрелки могут быть направлены в любую сторону, иногда даже в обе стороны (в этом случае каждой стрелке соответствуют два различных уравнения реакций)). Схемы превращений веществ можно классифицировать следующим образом: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1.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объектам</w:t>
      </w:r>
      <w:r w:rsidRPr="005821DB">
        <w:rPr>
          <w:rFonts w:ascii="Times New Roman" w:hAnsi="Times New Roman" w:cs="Times New Roman"/>
          <w:sz w:val="24"/>
          <w:szCs w:val="24"/>
        </w:rPr>
        <w:t>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неорганические;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смешанные.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форме «цепочки» (схемы могут быть линейными, разветвленными, циклическими)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объему и типу предоставленной информации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Даны все вещества без указаний условий протекания реакций.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Все или некоторые вещества зашифрованы буквами. Разные буквы соответствуют разным веществам, условия протекания реакций не указаны.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Вещества в схеме полностью или частично зашифрованы буквами и указаны условия протекания реакций или реагенты.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 схемах вместо веществ даны элементы, входящие в состав веществ, в соответствующих степенях окисления.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Схемы, в которых органические вещества зашифрованы в виде брутто-формул.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Другой формой качественных задач являются задачи на описание химического эксперимента (мысленный эксперимент) с указанием условий проведения реакций и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расчетных (количественных) задачах </w:t>
      </w:r>
      <w:r w:rsidRPr="005821DB">
        <w:rPr>
          <w:rFonts w:ascii="Times New Roman" w:hAnsi="Times New Roman" w:cs="Times New Roman"/>
          <w:sz w:val="24"/>
          <w:szCs w:val="24"/>
        </w:rPr>
        <w:t xml:space="preserve">обычно необходимы расчеты состава вещества или смеси веществ (массовый, объемный и мольный проценты); расчеты состава раствора </w:t>
      </w:r>
      <w:r w:rsidRPr="005821DB">
        <w:rPr>
          <w:rFonts w:ascii="Times New Roman" w:hAnsi="Times New Roman" w:cs="Times New Roman"/>
          <w:sz w:val="24"/>
          <w:szCs w:val="24"/>
        </w:rPr>
        <w:lastRenderedPageBreak/>
        <w:t xml:space="preserve">(приготовление растворов заданной концентрации); расчеты с использованием газовых законов (закон Авогадро, уравнение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Клапейрона-Менделеева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); вывод химической формулы вещества; расчеты по химическим уравнениям (стехиометрические соотношения); расчеты с использованием законов химической термодинамики (закон сохранения энергии, закон Гесса);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расчеты с использованием законов химической кинетики (закон действия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>равило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Вант-Гоффа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уравнение Аррениуса), расчеты с использованием констант равновесия.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Чаще всего олимпиадные задания включают в себя несколько типов задач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 xml:space="preserve">т.е. являются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комбинированными. </w:t>
      </w:r>
      <w:r w:rsidRPr="005821DB">
        <w:rPr>
          <w:rFonts w:ascii="Times New Roman" w:hAnsi="Times New Roman" w:cs="Times New Roman"/>
          <w:sz w:val="24"/>
          <w:szCs w:val="24"/>
        </w:rPr>
        <w:t>В задаче может быть избыток или недостаток данных. В случае избытка школьник должен выбрать те данные, которые необходимы для ответа на поставленный в задаче вопрос. В случае недостатка данных, школьнику необходимо показать умение пользоваться источниками справочной информации и извлекать необходимые для решения данные.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Примерами задач экспериментального тура являются небольшие практические работы на различение веществ, на простейший синтез, на приготовление раствора с заданной концентрацией.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Условия экспериментальных задач должны быть составлены так, чтобы у учащихся появился интерес к экспериментальной химии. Для достижения этой цели необходимо освоение учащимися простейших лабораторных операций. В формулировках экспериментальных заданий обязательно должно быть задание описать выполнение эксперимента, наблюдения происходящих реакций и сделать вывод из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Методические требования к олимпиадным задачам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познавательной, будить любопытство, удивлять.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олимпиадной задачи должны быть сложными, т.е. решаться в несколько действий.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комбинированной: включать вопросы как качественного, так и расчетного характера; желательно, чтобы в задаче содержался и материал из других естественнонаучных дисциплин. По возможности и задачи, и вопросы должны быть составлены и сформулированы оригинально.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Решение задачи должно требовать от участников олимпиады не знания редких фактов, а понимания сути химических явлений и умения логически мыслить.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 задачах полезно использовать различные способы названий веществ, которые используются в быту и технике.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к задаче должны быть выделены, четко сформулированы, не могут допускать двоякого толкования. На основе вопросов строится система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Решение задач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Написать решение задачи не легче, чем создать само задание. Решение должно ориентировать школьника на самостоятельную работу: оно должно быть развивающим, обучающим (ознакомительным). Важно, чтобы задачи имели ограниченное число верных решений, и эти решения должны быть развернутыми, подробными, логически выстроенным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821DB">
        <w:rPr>
          <w:rFonts w:ascii="Times New Roman" w:hAnsi="Times New Roman" w:cs="Times New Roman"/>
          <w:sz w:val="24"/>
          <w:szCs w:val="24"/>
        </w:rPr>
        <w:t>и включали систему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Система оценивания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Ее разработка - процесс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получения ответа может быть несколько. Таким образом, авторами-разработчиками необходимо выявить основные характеристики верных ответов, не зависящие от путей решения, или рассмотреть и оценить каждый из возможных вариантов решения. Система оценок должна быть гибкой и сводить субъективность проверки к минимуму. При этом она должна быть четко детерминированной.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Рекомендации по разработке системы оценивания: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Решения задачи должны быть разбиты на элементы (шаги).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2. В каждом задании баллы выставляются за каждый элемент (шаг) решения. Причем балл за один шаг решения может варьироваться от 0 (решение соответствующего элемента отсутствует или выполнено полностью неверно) до максимально возможного балла за данный шаг.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3. Баллы за правильно выполненные элементы решения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суммируются.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4. Шаги, демонстрирующие умение логически рассуждать, творчески мыслить, проявлять интуицию оцениваются выше, чем те, в которых показаны более простые умения, владение формальными знаниями, выполнение тривиальных расчетов и др.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Суммарный балл за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равзличные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задания («стоимость» каждого задания) не обязательно должен быть одинаковым.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Методика оценивания выполненных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Оценивание работ участников школьного и муниципального этапов Всероссийской олимпиады проводится согласно системе оценивания, разработанной предметной методической комиссией (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см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. рекомендации по разработке системы оценивания). Члены жюри перед проверкой знакомятся с решениями и с системой оценивания, распределяют задания, которые будут проверять. Проверка проводится парой членов жюри. Важным условием объективности проверки является то, что одна пара членов жюри проверяет одно и то же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Члены жюри приступают к проверке только после кодирования работ (кодированием занимается представитель орг. комитета).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В системе оценивания указан максимальный балл за тот или иной элемент решения. При неполном или частично ошибочном ответе ставится меньшее число баллов. Если ответ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неправильный, то за элемент решения баллы не начисляются.</w:t>
      </w:r>
      <w:proofErr w:type="gramEnd"/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Баллы могут начисляться также за оригинальное решение. При этом нельзя превышать максимальный балл за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Общая оценка результата участника олимпиады является арифметической суммой всех баллов, полученным им за задания всех туров олимпиады. Баллы за задания и общая сумма заносится членами жюри в ведомость</w:t>
      </w:r>
      <w:r>
        <w:rPr>
          <w:rFonts w:ascii="Times New Roman,Bold" w:eastAsia="Times New Roman,Bold" w:hAnsi="Times New Roman" w:cs="Times New Roman,Bold"/>
          <w:b/>
          <w:bCs/>
          <w:color w:val="0000FF"/>
          <w:sz w:val="24"/>
          <w:szCs w:val="24"/>
        </w:rPr>
        <w:t xml:space="preserve">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 вместе с работами передается на декодирование, а затем фиксируются в итоговой ведомости, по которой подводятся итоги олимпиады.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Материально-техническое обеспечение для выполнения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тиражирования материалов необходима компьютерная техника, множительная техника (лазерные принтеры и копиры) и расходные материалы. Материалы (условия и решения с системой оценивания) следует размножать в расчете на каждого участника.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каждого участника необходимо распечатать периодическую систему, таблицу растворимости (приложения 1 и 2) и условия заданий. Решения с системой оценивания печатаются отдельно и раздаются участникам и сопровождающим только после окончания всеми участниками теоретического тура.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выполнения заданий теоретического и экспериментального туров требуются проштампованные тетради в клетку/листы бумаги формата А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, небольшой запас ручек синего (или черного цвета).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работы жюри и оргкомитета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Компьютерная и множительная техника, бумага, ручки синие и красные (в расчете по 2 шт. на каждого члена жюри), карандаши простые, ножницы,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скрепки к ним,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антистеплеры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, клеящий карандаш;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Для экспериментального тура необходимы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муниципального и школьного этапов в соответствии с 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требованиями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разработанными региональными и муниципальными методическими комиссиями.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Перечень справочных материалов, сре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дств св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Периодическая система химических элементов (приложение 1).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Таблица растворимости и ряд напряжения металлов (приложение 2).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Инженерный непрограммируемый калькулятор</w:t>
      </w:r>
    </w:p>
    <w:p w:rsidR="005821DB" w:rsidRPr="005821DB" w:rsidRDefault="005821DB" w:rsidP="005821DB">
      <w:pPr>
        <w:pStyle w:val="Default"/>
        <w:rPr>
          <w:color w:val="auto"/>
        </w:rPr>
      </w:pPr>
    </w:p>
    <w:p w:rsidR="005821DB" w:rsidRPr="005821DB" w:rsidRDefault="005821DB" w:rsidP="005821DB">
      <w:pPr>
        <w:pStyle w:val="Default"/>
        <w:rPr>
          <w:color w:val="auto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>
      <w:r>
        <w:br w:type="page"/>
      </w:r>
    </w:p>
    <w:p w:rsidR="000E7AA5" w:rsidRDefault="000E7AA5" w:rsidP="000E7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A87" w:rsidRDefault="003954CC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BB67E9" w:rsidRPr="00EB71C0" w:rsidRDefault="00BB67E9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34" w:rsidRDefault="00BB67E9" w:rsidP="00B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всех типов образовательных учреждений при подготовке документации к аттестации можно использовать</w:t>
      </w:r>
    </w:p>
    <w:tbl>
      <w:tblPr>
        <w:tblStyle w:val="a6"/>
        <w:tblW w:w="0" w:type="auto"/>
        <w:tblLook w:val="04A0"/>
      </w:tblPr>
      <w:tblGrid>
        <w:gridCol w:w="9571"/>
      </w:tblGrid>
      <w:tr w:rsidR="00A36734" w:rsidTr="00A36734">
        <w:tc>
          <w:tcPr>
            <w:tcW w:w="9571" w:type="dxa"/>
          </w:tcPr>
          <w:p w:rsidR="00A36734" w:rsidRDefault="00A36734" w:rsidP="00BB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«Рекомендации для подготовки </w:t>
            </w:r>
            <w:proofErr w:type="spellStart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аттестации учителей химии на первую и высшую квалификационные категории»</w:t>
            </w: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Введенская А.Г.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методист кафедры естественно-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образования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Цурикова С.В.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естественно - географического</w:t>
            </w:r>
          </w:p>
          <w:p w:rsidR="00A36734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34" w:rsidRPr="00EB71C0" w:rsidRDefault="00A36734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В данных рекомендациях </w:t>
      </w:r>
      <w:proofErr w:type="gramStart"/>
      <w:r w:rsidRPr="00EB71C0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>: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Таблицы и схемы, соответствующие положениям «Экспертного заключения…»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Приложения, содержащие информацию: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возможных источниках публикации учебно-методических материалов учителями химии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Об олимпиадах по химии, имеющих (и не имеющих) официальный статус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О конкурсах разных </w:t>
      </w:r>
      <w:r w:rsidR="005818B6" w:rsidRPr="00EB71C0">
        <w:rPr>
          <w:rFonts w:ascii="Times New Roman" w:hAnsi="Times New Roman" w:cs="Times New Roman"/>
          <w:sz w:val="24"/>
          <w:szCs w:val="24"/>
        </w:rPr>
        <w:t xml:space="preserve"> уровней научных работ учащихся по химии</w:t>
      </w:r>
    </w:p>
    <w:p w:rsidR="005818B6" w:rsidRPr="00EB71C0" w:rsidRDefault="005818B6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конкурсах для учителей химии</w:t>
      </w:r>
    </w:p>
    <w:p w:rsidR="00A36734" w:rsidRDefault="00C37902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Рекомендации по оформлению плана-конспекта открытого урок</w:t>
      </w:r>
      <w:r w:rsidR="00A36734">
        <w:rPr>
          <w:rFonts w:ascii="Times New Roman" w:hAnsi="Times New Roman" w:cs="Times New Roman"/>
          <w:sz w:val="24"/>
          <w:szCs w:val="24"/>
        </w:rPr>
        <w:t>а</w:t>
      </w:r>
    </w:p>
    <w:p w:rsidR="00A36734" w:rsidRPr="00A36734" w:rsidRDefault="00A36734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E0472" w:rsidRPr="00A36734" w:rsidRDefault="00DE0472" w:rsidP="00DE0472">
      <w:pPr>
        <w:pStyle w:val="a3"/>
        <w:spacing w:after="0" w:line="240" w:lineRule="auto"/>
        <w:ind w:left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Данные материалы размещены на Региональном образовательном портале ХОР.</w:t>
      </w:r>
    </w:p>
    <w:p w:rsidR="00DE0472" w:rsidRPr="00A36734" w:rsidRDefault="00DE0472" w:rsidP="00DE0472">
      <w:pPr>
        <w:pStyle w:val="a3"/>
        <w:spacing w:after="0" w:line="240" w:lineRule="auto"/>
        <w:ind w:left="0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Как выйти на ХОР:</w:t>
      </w:r>
    </w:p>
    <w:p w:rsidR="00DE0472" w:rsidRPr="00A36734" w:rsidRDefault="00DE0472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Сайт ЛОИРО</w:t>
      </w:r>
      <w:r w:rsidRPr="00A36734">
        <w:rPr>
          <w:rFonts w:ascii="Monotype Corsiva" w:hAnsi="Monotype Corsiva" w:cs="Arial"/>
          <w:b/>
          <w:color w:val="000000"/>
          <w:sz w:val="24"/>
          <w:szCs w:val="24"/>
          <w:shd w:val="clear" w:color="auto" w:fill="F9F9F9"/>
        </w:rPr>
        <w:t xml:space="preserve"> </w:t>
      </w:r>
      <w:r w:rsidRPr="00A36734">
        <w:rPr>
          <w:rFonts w:ascii="Monotype Corsiva" w:hAnsi="Monotype Corsiva" w:cs="Times New Roman"/>
          <w:b/>
          <w:sz w:val="24"/>
          <w:szCs w:val="24"/>
        </w:rPr>
        <w:t xml:space="preserve">→ «Педагогический ХОР» →Региональный образовательный портал ХОР → </w:t>
      </w:r>
      <w:proofErr w:type="spellStart"/>
      <w:r w:rsidRPr="00A36734">
        <w:rPr>
          <w:rFonts w:ascii="Monotype Corsiva" w:hAnsi="Monotype Corsiva" w:cs="Times New Roman"/>
          <w:b/>
          <w:sz w:val="24"/>
          <w:szCs w:val="24"/>
        </w:rPr>
        <w:t>Инфотека</w:t>
      </w:r>
      <w:proofErr w:type="spellEnd"/>
      <w:r w:rsidRPr="00A36734">
        <w:rPr>
          <w:rFonts w:ascii="Monotype Corsiva" w:hAnsi="Monotype Corsiva" w:cs="Times New Roman"/>
          <w:b/>
          <w:sz w:val="24"/>
          <w:szCs w:val="24"/>
        </w:rPr>
        <w:t xml:space="preserve"> → Химия</w:t>
      </w:r>
    </w:p>
    <w:p w:rsidR="000D4FCA" w:rsidRPr="00A36734" w:rsidRDefault="000D4FCA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</w:p>
    <w:p w:rsidR="000D4FCA" w:rsidRPr="00A36734" w:rsidRDefault="000D4FCA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34" w:rsidRPr="005852F0" w:rsidRDefault="00A36734" w:rsidP="00A36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модели аттестации учителя на основе применения ЕФОМ (единых федеральных оценочных материалов)»</w:t>
      </w: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согласно утверждённой дорожной карте формирования и введения НСУР  является годом доработки новой модели аттестации учителей. 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апробация модели аттестации учителя на основе применения единых федеральных оценочных материалов (ЕФОМ), в которой принимали участие учителя русского языка и математики. 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пройдёт разработка и апробация ЕФОМ по всем предметам, а в 2020 году новые правила аттестации станут обязательными для всех.</w:t>
      </w:r>
    </w:p>
    <w:sectPr w:rsidR="00A36734" w:rsidRPr="00A36734" w:rsidSect="00C1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641"/>
    <w:multiLevelType w:val="hybridMultilevel"/>
    <w:tmpl w:val="732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513"/>
    <w:multiLevelType w:val="hybridMultilevel"/>
    <w:tmpl w:val="E4FC4624"/>
    <w:lvl w:ilvl="0" w:tplc="A3F44D4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23964"/>
    <w:multiLevelType w:val="hybridMultilevel"/>
    <w:tmpl w:val="D1D6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15C7"/>
    <w:multiLevelType w:val="hybridMultilevel"/>
    <w:tmpl w:val="51466F2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817"/>
    <w:multiLevelType w:val="hybridMultilevel"/>
    <w:tmpl w:val="F45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C32"/>
    <w:multiLevelType w:val="hybridMultilevel"/>
    <w:tmpl w:val="F1F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372A2"/>
    <w:multiLevelType w:val="hybridMultilevel"/>
    <w:tmpl w:val="CE9CF408"/>
    <w:lvl w:ilvl="0" w:tplc="E37A4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AF489D"/>
    <w:multiLevelType w:val="hybridMultilevel"/>
    <w:tmpl w:val="034A8F8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3CA"/>
    <w:multiLevelType w:val="hybridMultilevel"/>
    <w:tmpl w:val="B93CA2AC"/>
    <w:lvl w:ilvl="0" w:tplc="A3F44D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349"/>
    <w:rsid w:val="0001660A"/>
    <w:rsid w:val="00047F07"/>
    <w:rsid w:val="000B2E0F"/>
    <w:rsid w:val="000D1056"/>
    <w:rsid w:val="000D4FCA"/>
    <w:rsid w:val="000E7AA5"/>
    <w:rsid w:val="00134E41"/>
    <w:rsid w:val="00187F1E"/>
    <w:rsid w:val="001F12FF"/>
    <w:rsid w:val="0020657A"/>
    <w:rsid w:val="00217B4C"/>
    <w:rsid w:val="00263ACA"/>
    <w:rsid w:val="002B5EBD"/>
    <w:rsid w:val="00330349"/>
    <w:rsid w:val="003917DF"/>
    <w:rsid w:val="003954CC"/>
    <w:rsid w:val="003E3C97"/>
    <w:rsid w:val="00401D85"/>
    <w:rsid w:val="00441C67"/>
    <w:rsid w:val="0046284E"/>
    <w:rsid w:val="00477F4B"/>
    <w:rsid w:val="004D100C"/>
    <w:rsid w:val="004E1640"/>
    <w:rsid w:val="004E6631"/>
    <w:rsid w:val="00545503"/>
    <w:rsid w:val="00553587"/>
    <w:rsid w:val="00557F8C"/>
    <w:rsid w:val="005818B6"/>
    <w:rsid w:val="005821DB"/>
    <w:rsid w:val="00590809"/>
    <w:rsid w:val="005916F0"/>
    <w:rsid w:val="006B0B84"/>
    <w:rsid w:val="006E239E"/>
    <w:rsid w:val="006F147C"/>
    <w:rsid w:val="00776090"/>
    <w:rsid w:val="007C4A87"/>
    <w:rsid w:val="007D0975"/>
    <w:rsid w:val="007D3145"/>
    <w:rsid w:val="007E3BEC"/>
    <w:rsid w:val="007F4E24"/>
    <w:rsid w:val="00821362"/>
    <w:rsid w:val="00901A86"/>
    <w:rsid w:val="00903F79"/>
    <w:rsid w:val="009C4458"/>
    <w:rsid w:val="009E105A"/>
    <w:rsid w:val="009E6EF4"/>
    <w:rsid w:val="00A1259E"/>
    <w:rsid w:val="00A14C00"/>
    <w:rsid w:val="00A36734"/>
    <w:rsid w:val="00B64C41"/>
    <w:rsid w:val="00BA5EC2"/>
    <w:rsid w:val="00BB67E9"/>
    <w:rsid w:val="00BE11A7"/>
    <w:rsid w:val="00C176B5"/>
    <w:rsid w:val="00C37902"/>
    <w:rsid w:val="00C405C6"/>
    <w:rsid w:val="00C50E35"/>
    <w:rsid w:val="00C61DCB"/>
    <w:rsid w:val="00CF216C"/>
    <w:rsid w:val="00D05DCB"/>
    <w:rsid w:val="00D25BF5"/>
    <w:rsid w:val="00D3484A"/>
    <w:rsid w:val="00DA7C6B"/>
    <w:rsid w:val="00DC5E18"/>
    <w:rsid w:val="00DE0472"/>
    <w:rsid w:val="00DE7CA9"/>
    <w:rsid w:val="00E07D84"/>
    <w:rsid w:val="00EB71C0"/>
    <w:rsid w:val="00EC0AE2"/>
    <w:rsid w:val="00EF7B2E"/>
    <w:rsid w:val="00F03408"/>
    <w:rsid w:val="00F311D5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E-4EA1-8892-059049CA4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E-4EA1-8892-059049CA4D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E-4EA1-8892-059049CA4D85}"/>
            </c:ext>
          </c:extLst>
        </c:ser>
        <c:gapWidth val="182"/>
        <c:axId val="76745344"/>
        <c:axId val="76754304"/>
      </c:barChart>
      <c:catAx>
        <c:axId val="767453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54304"/>
        <c:crosses val="autoZero"/>
        <c:auto val="1"/>
        <c:lblAlgn val="ctr"/>
        <c:lblOffset val="100"/>
      </c:catAx>
      <c:valAx>
        <c:axId val="76754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74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2017(0-35)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6D-4307-9C46-2421C2295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2018(0-35)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6D-4307-9C46-2421C2295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6D-4307-9C46-2421C2295C96}"/>
            </c:ext>
          </c:extLst>
        </c:ser>
        <c:marker val="1"/>
        <c:axId val="89944064"/>
        <c:axId val="89945600"/>
      </c:lineChart>
      <c:catAx>
        <c:axId val="8994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45600"/>
        <c:crosses val="autoZero"/>
        <c:auto val="1"/>
        <c:lblAlgn val="ctr"/>
        <c:lblOffset val="100"/>
      </c:catAx>
      <c:valAx>
        <c:axId val="89945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2017(60-79)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B-4CAB-84DD-C29755685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2018(60-79)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80.910000000000025</c:v>
                </c:pt>
                <c:pt idx="1">
                  <c:v>59.75</c:v>
                </c:pt>
                <c:pt idx="2">
                  <c:v>33.760000000000012</c:v>
                </c:pt>
                <c:pt idx="3">
                  <c:v>58.14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BB-4CAB-84DD-C29755685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BB-4CAB-84DD-C297556855CE}"/>
            </c:ext>
          </c:extLst>
        </c:ser>
        <c:marker val="1"/>
        <c:axId val="74043392"/>
        <c:axId val="74044928"/>
      </c:lineChart>
      <c:catAx>
        <c:axId val="74043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44928"/>
        <c:crosses val="autoZero"/>
        <c:auto val="1"/>
        <c:lblAlgn val="ctr"/>
        <c:lblOffset val="100"/>
      </c:catAx>
      <c:valAx>
        <c:axId val="74044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4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2017(80-100)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2-45F9-895F-591FA0723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2018(80-100)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95.240000000000023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22-45F9-895F-591FA0723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22-45F9-895F-591FA0723DDD}"/>
            </c:ext>
          </c:extLst>
        </c:ser>
        <c:marker val="1"/>
        <c:axId val="76234752"/>
        <c:axId val="76236288"/>
      </c:lineChart>
      <c:catAx>
        <c:axId val="7623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36288"/>
        <c:crosses val="autoZero"/>
        <c:auto val="1"/>
        <c:lblAlgn val="ctr"/>
        <c:lblOffset val="100"/>
      </c:catAx>
      <c:valAx>
        <c:axId val="76236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3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62.5</c:v>
                </c:pt>
                <c:pt idx="2">
                  <c:v>45.6</c:v>
                </c:pt>
                <c:pt idx="3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7C-4478-B918-1D89BF7A84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70.149999999999991</c:v>
                </c:pt>
                <c:pt idx="1">
                  <c:v>62.18</c:v>
                </c:pt>
                <c:pt idx="2">
                  <c:v>45.83</c:v>
                </c:pt>
                <c:pt idx="3">
                  <c:v>59.38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7C-4478-B918-1D89BF7A84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7C-4478-B918-1D89BF7A842D}"/>
            </c:ext>
          </c:extLst>
        </c:ser>
        <c:marker val="1"/>
        <c:axId val="77189120"/>
        <c:axId val="77190656"/>
      </c:lineChart>
      <c:catAx>
        <c:axId val="77189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90656"/>
        <c:crosses val="autoZero"/>
        <c:auto val="1"/>
        <c:lblAlgn val="ctr"/>
        <c:lblOffset val="100"/>
      </c:catAx>
      <c:valAx>
        <c:axId val="77190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18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4-4621-9445-D136A5F57E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65.040000000000006</c:v>
                </c:pt>
                <c:pt idx="1">
                  <c:v>51.71</c:v>
                </c:pt>
                <c:pt idx="2">
                  <c:v>83.240000000000023</c:v>
                </c:pt>
                <c:pt idx="3">
                  <c:v>60.18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4-4621-9445-D136A5F57E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54-4621-9445-D136A5F57EF0}"/>
            </c:ext>
          </c:extLst>
        </c:ser>
        <c:gapWidth val="182"/>
        <c:axId val="78619776"/>
        <c:axId val="78621312"/>
      </c:barChart>
      <c:catAx>
        <c:axId val="78619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21312"/>
        <c:crosses val="autoZero"/>
        <c:auto val="1"/>
        <c:lblAlgn val="ctr"/>
        <c:lblOffset val="100"/>
      </c:catAx>
      <c:valAx>
        <c:axId val="786213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1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9-45CD-B761-BC0A76808C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34.230000000000011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99-45CD-B761-BC0A76808C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99-45CD-B761-BC0A76808CF5}"/>
            </c:ext>
          </c:extLst>
        </c:ser>
        <c:gapWidth val="182"/>
        <c:axId val="80280192"/>
        <c:axId val="86557440"/>
      </c:barChart>
      <c:catAx>
        <c:axId val="802801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57440"/>
        <c:crosses val="autoZero"/>
        <c:auto val="1"/>
        <c:lblAlgn val="ctr"/>
        <c:lblOffset val="100"/>
      </c:catAx>
      <c:valAx>
        <c:axId val="865574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8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F-4CDF-871F-0574C02A2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62.160000000000011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1F-4CDF-871F-0574C02A2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1F-4CDF-871F-0574C02A269C}"/>
            </c:ext>
          </c:extLst>
        </c:ser>
        <c:gapWidth val="182"/>
        <c:axId val="76558336"/>
        <c:axId val="76559872"/>
      </c:barChart>
      <c:catAx>
        <c:axId val="765583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59872"/>
        <c:crosses val="autoZero"/>
        <c:auto val="1"/>
        <c:lblAlgn val="ctr"/>
        <c:lblOffset val="100"/>
      </c:catAx>
      <c:valAx>
        <c:axId val="76559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55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9.4500000000000028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7-49B0-923E-E204C0564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57.290000000000013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7-49B0-923E-E204C0564B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7-49B0-923E-E204C0564B39}"/>
            </c:ext>
          </c:extLst>
        </c:ser>
        <c:gapWidth val="182"/>
        <c:axId val="80080896"/>
        <c:axId val="80082432"/>
      </c:barChart>
      <c:catAx>
        <c:axId val="80080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82432"/>
        <c:crosses val="autoZero"/>
        <c:auto val="1"/>
        <c:lblAlgn val="ctr"/>
        <c:lblOffset val="100"/>
      </c:catAx>
      <c:valAx>
        <c:axId val="80082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8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1-4654-8ACA-AF4B7EF093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61.620000000000012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73.149999999999991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D1-4654-8ACA-AF4B7EF093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D1-4654-8ACA-AF4B7EF093A7}"/>
            </c:ext>
          </c:extLst>
        </c:ser>
        <c:gapWidth val="182"/>
        <c:axId val="78577664"/>
        <c:axId val="78579200"/>
      </c:barChart>
      <c:catAx>
        <c:axId val="78577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79200"/>
        <c:crosses val="autoZero"/>
        <c:auto val="1"/>
        <c:lblAlgn val="ctr"/>
        <c:lblOffset val="100"/>
      </c:catAx>
      <c:valAx>
        <c:axId val="78579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7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73-4D8E-8257-70D3BD1507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50.99</c:v>
                </c:pt>
                <c:pt idx="1">
                  <c:v>50.99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73-4D8E-8257-70D3BD1507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73-4D8E-8257-70D3BD150786}"/>
            </c:ext>
          </c:extLst>
        </c:ser>
        <c:gapWidth val="182"/>
        <c:axId val="90128384"/>
        <c:axId val="90129920"/>
      </c:barChart>
      <c:catAx>
        <c:axId val="90128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29920"/>
        <c:crosses val="autoZero"/>
        <c:auto val="1"/>
        <c:lblAlgn val="ctr"/>
        <c:lblOffset val="100"/>
      </c:catAx>
      <c:valAx>
        <c:axId val="90129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2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608-AE29-91BEF3730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68.649999999999991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608-AE29-91BEF3730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6B-4608-AE29-91BEF3730DB8}"/>
            </c:ext>
          </c:extLst>
        </c:ser>
        <c:gapWidth val="182"/>
        <c:axId val="90173440"/>
        <c:axId val="90174976"/>
      </c:barChart>
      <c:catAx>
        <c:axId val="90173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74976"/>
        <c:crosses val="autoZero"/>
        <c:auto val="1"/>
        <c:lblAlgn val="ctr"/>
        <c:lblOffset val="100"/>
      </c:catAx>
      <c:valAx>
        <c:axId val="901749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7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7F-4CA1-832A-301898E4A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7F-4CA1-832A-301898E4A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7F-4CA1-832A-301898E4ABC9}"/>
            </c:ext>
          </c:extLst>
        </c:ser>
        <c:marker val="1"/>
        <c:axId val="73990144"/>
        <c:axId val="73991680"/>
      </c:lineChart>
      <c:catAx>
        <c:axId val="73990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991680"/>
        <c:crosses val="autoZero"/>
        <c:auto val="1"/>
        <c:lblAlgn val="ctr"/>
        <c:lblOffset val="100"/>
      </c:catAx>
      <c:valAx>
        <c:axId val="73991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99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695D-1017-4DE2-AE82-8B1E966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42</Pages>
  <Words>8302</Words>
  <Characters>47324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Владелец</cp:lastModifiedBy>
  <cp:revision>19</cp:revision>
  <cp:lastPrinted>2018-09-11T07:24:00Z</cp:lastPrinted>
  <dcterms:created xsi:type="dcterms:W3CDTF">2017-10-09T14:22:00Z</dcterms:created>
  <dcterms:modified xsi:type="dcterms:W3CDTF">2018-09-12T06:51:00Z</dcterms:modified>
</cp:coreProperties>
</file>